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webp" ContentType="image/png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ind w:left="142" w:hanging="142"/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Паспорт </w:t>
      </w:r>
    </w:p>
    <w:p>
      <w:pPr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инвестиционной площадки</w:t>
      </w:r>
    </w:p>
    <w:p>
      <w:pPr>
        <w:spacing/>
        <w:jc w:val="center"/>
        <w:rPr>
          <w:b/>
          <w:bCs/>
        </w:rPr>
      </w:pPr>
      <w:r>
        <w:rPr>
          <w:rFonts w:ascii="Times New Roman" w:hAnsi="Times New Roman"/>
          <w:b/>
          <w:sz w:val="28"/>
        </w:rPr>
        <w:t>Анжеро-Судженск, производственная база ООО Стройинвест (с боксом)</w:t>
      </w:r>
      <w:r>
        <w:rPr>
          <w:b/>
          <w:bCs/>
        </w:rPr>
      </w:r>
    </w:p>
    <w:tbl>
      <w:tblPr>
        <w:tblStyle w:val="NormalTable"/>
        <w:name w:val="Таблица1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3794"/>
        <w:gridCol w:w="6266"/>
      </w:tblGrid>
      <w:tr>
        <w:trPr>
          <w:tblHeader/>
          <w:cantSplit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Название площадки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Cs w:val="24"/>
                <w:lang w:eastAsia="en-us"/>
              </w:rPr>
              <w:t>Инвестиционная площадка для размещения производственной деятельности</w:t>
            </w:r>
          </w:p>
        </w:tc>
      </w:tr>
      <w:tr>
        <w:trPr>
          <w:tblHeader/>
          <w:cantSplit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площадки/ функциональное назначение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промышленная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ind w:left="6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1. Положение и окружение инвестиционной площадки </w:t>
      </w:r>
    </w:p>
    <w:tbl>
      <w:tblPr>
        <w:tblStyle w:val="NormalTable"/>
        <w:name w:val="Таблица2"/>
        <w:tabOrder w:val="0"/>
        <w:jc w:val="left"/>
        <w:tblInd w:w="0" w:type="dxa"/>
        <w:tblW w:w="10034" w:type="dxa"/>
        <w:tblLook w:val="0600" w:firstRow="0" w:lastRow="0" w:firstColumn="0" w:lastColumn="0" w:noHBand="1" w:noVBand="1"/>
      </w:tblPr>
      <w:tblGrid>
        <w:gridCol w:w="3673"/>
        <w:gridCol w:w="6361"/>
      </w:tblGrid>
      <w:tr>
        <w:trPr>
          <w:tblHeader/>
          <w:cantSplit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Место расположения (адрес)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Кемеровская область, г.Анжеро-Судженск, 6-й пер. У.Громовой 1</w:t>
            </w:r>
          </w:p>
        </w:tc>
      </w:tr>
      <w:tr>
        <w:trPr>
          <w:tblHeader/>
          <w:cantSplit/>
          <w:trHeight w:val="0" w:hRule="auto"/>
        </w:trPr>
        <w:tc>
          <w:tcPr>
            <w:tcW w:w="10034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Удаленность от объектов (в км):</w:t>
            </w:r>
          </w:p>
        </w:tc>
      </w:tr>
      <w:tr>
        <w:trPr>
          <w:tblHeader/>
          <w:cantSplit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г. Кемерово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 км</w:t>
            </w:r>
          </w:p>
        </w:tc>
      </w:tr>
      <w:tr>
        <w:trPr>
          <w:tblHeader/>
          <w:cantSplit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центра муниципального образования 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км</w:t>
            </w:r>
          </w:p>
        </w:tc>
      </w:tr>
      <w:tr>
        <w:trPr>
          <w:tblHeader/>
          <w:cantSplit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автомагистрали (название дороги)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Расстояние по прямой 0,2 км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Расстояние по дорогам общего пользования 0,2 км</w:t>
            </w:r>
          </w:p>
        </w:tc>
      </w:tr>
      <w:tr>
        <w:trPr>
          <w:tblHeader/>
          <w:cantSplit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автомобильных подъездных путей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границе площадки</w:t>
            </w:r>
          </w:p>
        </w:tc>
      </w:tr>
      <w:tr>
        <w:trPr>
          <w:tblHeader/>
          <w:cantSplit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 покрытия автодороги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асфальтовое покрытие</w:t>
            </w:r>
          </w:p>
        </w:tc>
      </w:tr>
      <w:tr>
        <w:trPr>
          <w:tblHeader/>
          <w:cantSplit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расстоянии 5,5 км от границы площадки</w:t>
            </w:r>
          </w:p>
        </w:tc>
      </w:tr>
      <w:tr>
        <w:trPr>
          <w:tblHeader/>
          <w:cantSplit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Удаленность от аэропорта (название)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109,2км Название аэропорта Международный аэропорт Кемерово им. А.А. Леонова</w:t>
            </w:r>
          </w:p>
        </w:tc>
      </w:tr>
      <w:tr>
        <w:trPr>
          <w:tblHeader/>
          <w:cantSplit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Удаленность от полигонов размещения отходов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  км. № полигона в ГРОРО 42-00322-З-00552-070715</w:t>
            </w:r>
          </w:p>
        </w:tc>
      </w:tr>
      <w:tr>
        <w:trPr>
          <w:tblHeader/>
          <w:cantSplit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Рельеф поверхности (ровная, наклонная, террасная, уступами)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Ровная 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 Правовой статус инвестиционной площадки</w:t>
      </w:r>
    </w:p>
    <w:tbl>
      <w:tblPr>
        <w:tblStyle w:val="NormalTable"/>
        <w:name w:val="Таблица3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3823"/>
        <w:gridCol w:w="6237"/>
      </w:tblGrid>
      <w:tr>
        <w:trPr>
          <w:tblHeader/>
          <w:cantSplit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Частная собственность</w:t>
            </w:r>
          </w:p>
        </w:tc>
      </w:tr>
      <w:tr>
        <w:trPr>
          <w:tblHeader/>
          <w:cantSplit/>
          <w:trHeight w:val="306" w:hRule="atLeast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Категория земель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земли населенных пунктов</w:t>
            </w:r>
          </w:p>
        </w:tc>
      </w:tr>
      <w:tr>
        <w:trPr>
          <w:tblHeader/>
          <w:cantSplit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Межевание земельного участка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проведено</w:t>
            </w:r>
          </w:p>
        </w:tc>
      </w:tr>
      <w:tr>
        <w:trPr>
          <w:tblHeader/>
          <w:cantSplit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Кадастровый номер 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42:20:0103082:58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3. Характеристика территории инвестиционной площадки </w:t>
      </w:r>
    </w:p>
    <w:tbl>
      <w:tblPr>
        <w:tblStyle w:val="NormalTable"/>
        <w:name w:val="Таблица4"/>
        <w:tabOrder w:val="0"/>
        <w:jc w:val="left"/>
        <w:tblInd w:w="0" w:type="dxa"/>
        <w:tblW w:w="10063" w:type="dxa"/>
        <w:tblLook w:val="0600" w:firstRow="0" w:lastRow="0" w:firstColumn="0" w:lastColumn="0" w:noHBand="1" w:noVBand="1"/>
      </w:tblPr>
      <w:tblGrid>
        <w:gridCol w:w="4397"/>
        <w:gridCol w:w="5666"/>
      </w:tblGrid>
      <w:tr>
        <w:trPr>
          <w:tblHeader/>
          <w:cantSplit/>
          <w:trHeight w:val="280" w:hRule="atLeast"/>
        </w:trPr>
        <w:tc>
          <w:tcPr>
            <w:tcW w:w="439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Площадь, в га</w:t>
            </w:r>
          </w:p>
        </w:tc>
        <w:tc>
          <w:tcPr>
            <w:tcW w:w="56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ind w:firstLine="708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24,34</w:t>
            </w:r>
          </w:p>
        </w:tc>
      </w:tr>
      <w:tr>
        <w:trPr>
          <w:tblHeader/>
          <w:cantSplit/>
          <w:trHeight w:val="1136" w:hRule="atLeast"/>
        </w:trPr>
        <w:tc>
          <w:tcPr>
            <w:tcW w:w="439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Стоимость ориентировочная аренды в месяц, тыс.руб.</w:t>
            </w:r>
          </w:p>
        </w:tc>
        <w:tc>
          <w:tcPr>
            <w:tcW w:w="56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</w:tr>
    </w:tbl>
    <w:p>
      <w:pPr>
        <w: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4. Характеристика инженерной инфраструктуры инвестиционной площадки*</w:t>
        <w:br w:type="textWrapping"/>
      </w:r>
      <w:r>
        <w:rPr>
          <w:rFonts w:ascii="Times New Roman" w:hAnsi="Times New Roman" w:cs="Times New Roman"/>
        </w:rPr>
        <w:t xml:space="preserve">При использовании площадки потребуются затраты на проведение инфраструктуры к </w:t>
      </w:r>
      <w:r>
        <w:rPr>
          <w:rFonts w:ascii="Times New Roman" w:hAnsi="Times New Roman"/>
        </w:rPr>
        <w:t>ее границам, а так же на технологическое присоединение.</w:t>
      </w:r>
      <w:r>
        <w:rPr>
          <w:rFonts w:ascii="Times New Roman" w:hAnsi="Times New Roman"/>
        </w:rPr>
      </w:r>
    </w:p>
    <w:tbl>
      <w:tblPr>
        <w:tblStyle w:val="NormalTable"/>
        <w:name w:val="Таблица5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1380"/>
        <w:gridCol w:w="933"/>
        <w:gridCol w:w="1281"/>
        <w:gridCol w:w="1235"/>
        <w:gridCol w:w="1396"/>
        <w:gridCol w:w="1137"/>
        <w:gridCol w:w="987"/>
        <w:gridCol w:w="1711"/>
      </w:tblGrid>
      <w:tr>
        <w:trPr>
          <w:tblHeader/>
          <w:cantSplit/>
          <w:trHeight w:val="270" w:hRule="atLeast"/>
        </w:trPr>
        <w:tc>
          <w:tcPr>
            <w:tcW w:w="1380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ind w:left="-108"/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Вид инфраструктуры</w:t>
            </w:r>
          </w:p>
        </w:tc>
        <w:tc>
          <w:tcPr>
            <w:tcW w:w="933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Единица измерения</w:t>
            </w:r>
          </w:p>
        </w:tc>
        <w:tc>
          <w:tcPr>
            <w:tcW w:w="2516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Мощность</w:t>
            </w:r>
          </w:p>
        </w:tc>
        <w:tc>
          <w:tcPr>
            <w:tcW w:w="139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Расстояние от границы площадки до точки подключения/</w:t>
            </w:r>
          </w:p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присоединения, км</w:t>
            </w:r>
          </w:p>
        </w:tc>
        <w:tc>
          <w:tcPr>
            <w:tcW w:w="11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Стоимость подключения к ресурсу</w:t>
            </w:r>
          </w:p>
        </w:tc>
        <w:tc>
          <w:tcPr>
            <w:tcW w:w="98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Стоимость ресурса</w:t>
            </w:r>
          </w:p>
        </w:tc>
        <w:tc>
          <w:tcPr>
            <w:tcW w:w="171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spacing/>
              <w:jc w:val="both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Поставщик ресурса</w:t>
            </w:r>
          </w:p>
        </w:tc>
      </w:tr>
      <w:tr>
        <w:trPr>
          <w:tblHeader/>
          <w:cantSplit/>
          <w:trHeight w:val="222" w:hRule="atLeast"/>
        </w:trPr>
        <w:tc>
          <w:tcPr>
            <w:tcW w:w="1380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/>
        </w:tc>
        <w:tc>
          <w:tcPr>
            <w:tcW w:w="933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/>
        </w:tc>
        <w:tc>
          <w:tcPr>
            <w:tcW w:w="12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Существующая</w:t>
            </w:r>
          </w:p>
        </w:tc>
        <w:tc>
          <w:tcPr>
            <w:tcW w:w="12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Доступная к подведению </w:t>
            </w:r>
          </w:p>
        </w:tc>
        <w:tc>
          <w:tcPr>
            <w:tcW w:w="139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1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8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1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</w:tr>
      <w:tr>
        <w:trPr>
          <w:tblHeader/>
          <w:cantSplit/>
          <w:trHeight w:val="276" w:hRule="atLeast"/>
        </w:trPr>
        <w:tc>
          <w:tcPr>
            <w:tcW w:w="138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Газ </w:t>
            </w:r>
          </w:p>
        </w:tc>
        <w:tc>
          <w:tcPr>
            <w:tcW w:w="93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</w:t>
            </w:r>
            <w:r>
              <w:rPr>
                <w:rFonts w:ascii="Times New Roman" w:hAnsi="Times New Roman"/>
                <w:sz w:val="16"/>
                <w:vertAlign w:val="superscript"/>
              </w:rPr>
              <w:t>3</w:t>
            </w:r>
            <w:r>
              <w:rPr>
                <w:rFonts w:ascii="Times New Roman" w:hAnsi="Times New Roman"/>
                <w:sz w:val="16"/>
              </w:rPr>
              <w:t xml:space="preserve">/час </w:t>
            </w:r>
          </w:p>
        </w:tc>
        <w:tc>
          <w:tcPr>
            <w:tcW w:w="12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39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8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71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</w:tr>
      <w:tr>
        <w:trPr>
          <w:tblHeader/>
          <w:cantSplit/>
          <w:trHeight w:val="334" w:hRule="atLeast"/>
        </w:trPr>
        <w:tc>
          <w:tcPr>
            <w:tcW w:w="138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Теплоснабжение</w:t>
            </w:r>
          </w:p>
        </w:tc>
        <w:tc>
          <w:tcPr>
            <w:tcW w:w="93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Гкал/час </w:t>
            </w:r>
          </w:p>
        </w:tc>
        <w:tc>
          <w:tcPr>
            <w:tcW w:w="12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-собственное, электрический котел</w:t>
            </w:r>
          </w:p>
        </w:tc>
        <w:tc>
          <w:tcPr>
            <w:tcW w:w="12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39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  <w:p>
            <w:pPr/>
            <w:r/>
          </w:p>
        </w:tc>
        <w:tc>
          <w:tcPr>
            <w:tcW w:w="98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71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</w:tr>
      <w:tr>
        <w:trPr>
          <w:tblHeader/>
          <w:cantSplit/>
          <w:trHeight w:val="289" w:hRule="atLeast"/>
        </w:trPr>
        <w:tc>
          <w:tcPr>
            <w:tcW w:w="138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Электроэнергия</w:t>
            </w:r>
          </w:p>
        </w:tc>
        <w:tc>
          <w:tcPr>
            <w:tcW w:w="93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кВт</w:t>
            </w:r>
          </w:p>
        </w:tc>
        <w:tc>
          <w:tcPr>
            <w:tcW w:w="12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-100</w:t>
            </w:r>
          </w:p>
        </w:tc>
        <w:tc>
          <w:tcPr>
            <w:tcW w:w="12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39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8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6,05-8,05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руб./кВтч</w:t>
            </w:r>
          </w:p>
        </w:tc>
        <w:tc>
          <w:tcPr>
            <w:tcW w:w="171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</w:tr>
      <w:tr>
        <w:trPr>
          <w:tblHeader/>
          <w:cantSplit/>
          <w:trHeight w:val="280" w:hRule="atLeast"/>
        </w:trPr>
        <w:tc>
          <w:tcPr>
            <w:tcW w:w="138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Водоснабжение</w:t>
            </w:r>
          </w:p>
        </w:tc>
        <w:tc>
          <w:tcPr>
            <w:tcW w:w="93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</w:t>
            </w:r>
            <w:r>
              <w:rPr>
                <w:rFonts w:ascii="Times New Roman" w:hAnsi="Times New Roman"/>
                <w:sz w:val="16"/>
                <w:vertAlign w:val="superscript"/>
              </w:rPr>
              <w:t>3</w:t>
            </w:r>
            <w:r>
              <w:rPr>
                <w:rFonts w:ascii="Times New Roman" w:hAnsi="Times New Roman"/>
                <w:sz w:val="16"/>
              </w:rPr>
              <w:t>/час</w:t>
            </w:r>
          </w:p>
        </w:tc>
        <w:tc>
          <w:tcPr>
            <w:tcW w:w="12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39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11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87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48,12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руб./куб.м.</w:t>
            </w:r>
          </w:p>
        </w:tc>
        <w:tc>
          <w:tcPr>
            <w:tcW w:w="1711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</w:tr>
      <w:tr>
        <w:trPr>
          <w:tblHeader/>
          <w:cantSplit/>
          <w:trHeight w:val="264" w:hRule="atLeast"/>
        </w:trPr>
        <w:tc>
          <w:tcPr>
            <w:tcW w:w="138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Водоотведение</w:t>
            </w:r>
          </w:p>
        </w:tc>
        <w:tc>
          <w:tcPr>
            <w:tcW w:w="93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</w:t>
            </w:r>
            <w:r>
              <w:rPr>
                <w:rFonts w:ascii="Times New Roman" w:hAnsi="Times New Roman"/>
                <w:sz w:val="16"/>
                <w:vertAlign w:val="superscript"/>
              </w:rPr>
              <w:t>3</w:t>
            </w:r>
            <w:r>
              <w:rPr>
                <w:rFonts w:ascii="Times New Roman" w:hAnsi="Times New Roman"/>
                <w:sz w:val="16"/>
              </w:rPr>
              <w:t>/час</w:t>
            </w:r>
          </w:p>
        </w:tc>
        <w:tc>
          <w:tcPr>
            <w:tcW w:w="12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39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87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40,49</w:t>
            </w:r>
          </w:p>
        </w:tc>
        <w:tc>
          <w:tcPr>
            <w:tcW w:w="1711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</w:tr>
    </w:tbl>
    <w:p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*данные носят ориентировочный характер, точные данные будут предоставлены при заключении договора на технологическое присоединение</w:t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5. Основные параметры расположенных на площадке зданий и сооружений</w:t>
      </w:r>
      <w:r>
        <w:rPr>
          <w:rFonts w:ascii="Times New Roman" w:hAnsi="Times New Roman"/>
          <w:b/>
          <w:vertAlign w:val="superscript"/>
        </w:rPr>
      </w:r>
      <w:r>
        <w:rPr>
          <w:rFonts w:ascii="Times New Roman" w:hAnsi="Times New Roman"/>
          <w:b/>
          <w:vertAlign w:val="superscript"/>
        </w:rPr>
        <w:footnoteReference w:id="1"/>
      </w:r>
      <w:r>
        <w:rPr>
          <w:rFonts w:ascii="Times New Roman" w:hAnsi="Times New Roman"/>
          <w:b/>
        </w:rPr>
        <w:t xml:space="preserve">: </w:t>
      </w:r>
      <w:r>
        <w:rPr>
          <w:rFonts w:ascii="Times New Roman" w:hAnsi="Times New Roman"/>
          <w:b/>
        </w:rPr>
      </w:r>
    </w:p>
    <w:tbl>
      <w:tblPr>
        <w:tblStyle w:val="NormalTable"/>
        <w:name w:val="Таблица6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1284"/>
        <w:gridCol w:w="827"/>
        <w:gridCol w:w="895"/>
        <w:gridCol w:w="1169"/>
        <w:gridCol w:w="912"/>
        <w:gridCol w:w="681"/>
        <w:gridCol w:w="1133"/>
        <w:gridCol w:w="920"/>
        <w:gridCol w:w="1066"/>
        <w:gridCol w:w="1173"/>
      </w:tblGrid>
      <w:tr>
        <w:trPr>
          <w:tblHeader/>
          <w:cantSplit/>
          <w:trHeight w:val="0" w:hRule="auto"/>
        </w:trPr>
        <w:tc>
          <w:tcPr>
            <w:tcW w:w="12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Наименование здания/</w:t>
            </w:r>
          </w:p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сооружения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8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Площадь, м</w:t>
            </w:r>
            <w:r>
              <w:rPr>
                <w:rFonts w:ascii="Times New Roman" w:hAnsi="Times New Roman"/>
                <w:sz w:val="16"/>
                <w:vertAlign w:val="superscript"/>
              </w:rPr>
              <w:t>2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89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Этажность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16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Степень завершенности в %</w:t>
            </w:r>
          </w:p>
        </w:tc>
        <w:tc>
          <w:tcPr>
            <w:tcW w:w="91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Год постройки, оценка текущего состояния</w:t>
            </w:r>
          </w:p>
        </w:tc>
        <w:tc>
          <w:tcPr>
            <w:tcW w:w="6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Высота этажа, м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13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Строительный материал конструкции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92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Состояние, степень износа, %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0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Возможность расширения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1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Использование в настоящее время</w:t>
            </w:r>
          </w:p>
        </w:tc>
      </w:tr>
      <w:tr>
        <w:trPr>
          <w:tblHeader/>
          <w:cantSplit/>
          <w:trHeight w:val="0" w:hRule="auto"/>
        </w:trPr>
        <w:tc>
          <w:tcPr>
            <w:tcW w:w="12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Склад</w:t>
            </w:r>
          </w:p>
        </w:tc>
        <w:tc>
          <w:tcPr>
            <w:tcW w:w="8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678,4</w:t>
            </w:r>
          </w:p>
        </w:tc>
        <w:tc>
          <w:tcPr>
            <w:tcW w:w="89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1</w:t>
            </w:r>
          </w:p>
        </w:tc>
        <w:tc>
          <w:tcPr>
            <w:tcW w:w="116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1992</w:t>
            </w:r>
          </w:p>
        </w:tc>
        <w:tc>
          <w:tcPr>
            <w:tcW w:w="6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4,45</w:t>
            </w:r>
          </w:p>
        </w:tc>
        <w:tc>
          <w:tcPr>
            <w:tcW w:w="113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Кирпич</w:t>
            </w:r>
          </w:p>
        </w:tc>
        <w:tc>
          <w:tcPr>
            <w:tcW w:w="92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40</w:t>
            </w:r>
          </w:p>
        </w:tc>
        <w:tc>
          <w:tcPr>
            <w:tcW w:w="10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11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Нет</w:t>
            </w:r>
          </w:p>
        </w:tc>
      </w:tr>
      <w:tr>
        <w:trPr>
          <w:tblHeader/>
          <w:cantSplit/>
          <w:trHeight w:val="0" w:hRule="auto"/>
        </w:trPr>
        <w:tc>
          <w:tcPr>
            <w:tcW w:w="12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Металлический склад</w:t>
            </w:r>
          </w:p>
        </w:tc>
        <w:tc>
          <w:tcPr>
            <w:tcW w:w="8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400</w:t>
            </w:r>
          </w:p>
        </w:tc>
        <w:tc>
          <w:tcPr>
            <w:tcW w:w="89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1</w:t>
            </w:r>
          </w:p>
        </w:tc>
        <w:tc>
          <w:tcPr>
            <w:tcW w:w="116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2000</w:t>
            </w:r>
          </w:p>
        </w:tc>
        <w:tc>
          <w:tcPr>
            <w:tcW w:w="6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8.0</w:t>
            </w:r>
          </w:p>
        </w:tc>
        <w:tc>
          <w:tcPr>
            <w:tcW w:w="113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Металл</w:t>
            </w:r>
          </w:p>
        </w:tc>
        <w:tc>
          <w:tcPr>
            <w:tcW w:w="92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30</w:t>
            </w:r>
          </w:p>
        </w:tc>
        <w:tc>
          <w:tcPr>
            <w:tcW w:w="10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Да</w:t>
            </w:r>
          </w:p>
        </w:tc>
        <w:tc>
          <w:tcPr>
            <w:tcW w:w="11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Нет</w:t>
            </w:r>
          </w:p>
        </w:tc>
      </w:tr>
    </w:tbl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7. Трудовые ресурсы</w:t>
      </w:r>
    </w:p>
    <w:tbl>
      <w:tblPr>
        <w:tblStyle w:val="NormalTable"/>
        <w:name w:val="Таблица7"/>
        <w:tabOrder w:val="0"/>
        <w:jc w:val="left"/>
        <w:tblInd w:w="-5" w:type="dxa"/>
        <w:tblW w:w="10065" w:type="dxa"/>
        <w:pPr>
          <w:ind w:left="-5"/>
        </w:pPr>
        <w:tblLook w:val="0600" w:firstRow="0" w:lastRow="0" w:firstColumn="0" w:lastColumn="0" w:noHBand="1" w:noVBand="1"/>
      </w:tblPr>
      <w:tblGrid>
        <w:gridCol w:w="4395"/>
        <w:gridCol w:w="5670"/>
      </w:tblGrid>
      <w:tr>
        <w:trPr>
          <w:tblHeader/>
          <w:cantSplit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ind w:left="-5"/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68275</w:t>
            </w:r>
          </w:p>
        </w:tc>
      </w:tr>
      <w:tr>
        <w:trPr>
          <w:tblHeader/>
          <w:cantSplit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том числе трудоспособного населения,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38376</w:t>
            </w:r>
          </w:p>
        </w:tc>
      </w:tr>
    </w:tbl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8. Сведения о владельце (собственнике) площадки:</w:t>
      </w:r>
    </w:p>
    <w:tbl>
      <w:tblPr>
        <w:tblStyle w:val="NormalTable"/>
        <w:name w:val="Таблица8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4390"/>
        <w:gridCol w:w="5670"/>
      </w:tblGrid>
      <w:tr>
        <w:trPr>
          <w:tblHeader/>
          <w:cantSplit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Владелец (собственник)</w:t>
            </w:r>
          </w:p>
        </w:tc>
      </w:tr>
      <w:tr>
        <w:trPr>
          <w:tblHeader/>
          <w:cantSplit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предприятия/ Ф.И.О.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ООО Стройинвест/ Горбачев Михаил Геннадьевич</w:t>
            </w:r>
          </w:p>
        </w:tc>
      </w:tr>
      <w:tr>
        <w:trPr>
          <w:tblHeader/>
          <w:cantSplit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Юридический адрес: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Кемеровская область, город Анжеро-Судженск, 6-й пер. У.Громовой 1</w:t>
            </w:r>
          </w:p>
        </w:tc>
      </w:tr>
      <w:tr>
        <w:trPr>
          <w:tblHeader/>
          <w:cantSplit/>
          <w:trHeight w:val="1178" w:hRule="atLeast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Форма владения (использования) землей (и) и зданиями(ий) (собственность, аренда, др.)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собственность</w:t>
            </w:r>
          </w:p>
        </w:tc>
      </w:tr>
      <w:tr>
        <w:trPr>
          <w:tblHeader/>
          <w:cantSplit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blHeader/>
          <w:cantSplit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Контактное лицо:</w:t>
            </w:r>
          </w:p>
        </w:tc>
      </w:tr>
      <w:tr>
        <w:trPr>
          <w:tblHeader/>
          <w:cantSplit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Ф.И.О., должность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Горбачев Михаил Геннадьевич</w:t>
            </w:r>
          </w:p>
        </w:tc>
      </w:tr>
      <w:tr>
        <w:trPr>
          <w:tblHeader/>
          <w:cantSplit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Телефон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+7923-601-08-78</w:t>
            </w:r>
          </w:p>
        </w:tc>
      </w:tr>
      <w:tr>
        <w:trPr>
          <w:tblHeader/>
          <w:cantSplit/>
          <w:trHeight w:val="271" w:hRule="atLeast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e-mail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776" protected="0"/>
          </w:tcPr>
          <w:p>
            <w:pPr>
              <w:contextualSpacing/>
              <w:rPr>
                <w:rFonts w:ascii="Times New Roman" w:hAnsi="Times New Roman" w:eastAsia="Calibri"/>
                <w:lang w:val="en-us" w:eastAsia="en-us"/>
              </w:rPr>
            </w:pPr>
            <w:hyperlink r:id="rId8" w:history="1">
              <w:r>
                <w:rPr>
                  <w:rStyle w:val="char14"/>
                  <w:rFonts w:ascii="Times New Roman" w:hAnsi="Times New Roman" w:eastAsia="Calibri"/>
                  <w:lang w:val="en-us" w:eastAsia="en-us"/>
                </w:rPr>
                <w:t>munhen833@gmail.com</w:t>
              </w:r>
            </w:hyperlink>
          </w:p>
        </w:tc>
      </w:tr>
    </w:tbl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</w:r>
    </w:p>
    <w:p>
      <w:r/>
    </w:p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type w:val="nextPage"/>
          <w:pgSz w:h="16838" w:w="11906"/>
          <w:pgMar w:left="992" w:top="709" w:right="851" w:bottom="1134" w:header="0" w:footer="0"/>
          <w:paperSrc w:first="0" w:other="0" a="0" b="0"/>
          <w:pgNumType w:fmt="decimal" w:start="0"/>
          <w:tmGutter w:val="3"/>
          <w:mirrorMargins w:val="0"/>
          <w:tmSection w:h="-1"/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r/>
    </w:p>
    <w:p>
      <w:pPr>
        <w:rPr>
          <w:lang w:eastAsia="ru-ru"/>
        </w:rPr>
      </w:pPr>
      <w:r/>
      <w:r>
        <w:rPr>
          <w:noProof/>
        </w:rPr>
        <w:drawing>
          <wp:inline distT="0" distB="0" distL="0" distR="0">
            <wp:extent cx="9251950" cy="4674870"/>
            <wp:effectExtent l="0" t="0" r="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3"/>
                    <pic:cNvPicPr>
                      <a:picLocks noChangeAspect="1"/>
                      <a:extLst>
                        <a:ext uri="sm">
                          <sm:smNativeData xmlns:sm="sm" val="SMDATA_16_iBLua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cAAAAB6AAAAAAAAAAAAAAAAAAAAAAAAAAAAAAAAAAAAAAAAAAAAAA6jgAAMIcAAAAAAAAAAAAAAAAAAAoAAAACAAAAAEAAAABAAAA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7487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lang w:eastAsia="ru-ru"/>
        </w:rPr>
      </w:r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>
        <w:rPr>
          <w:noProof/>
        </w:rPr>
        <w:drawing>
          <wp:inline distT="0" distB="0" distL="0" distR="0">
            <wp:extent cx="7400290" cy="5549900"/>
            <wp:effectExtent l="0" t="0" r="0" b="0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/>
                      <a:extLst>
                        <a:ext uri="sm">
                          <sm:smNativeData xmlns:sm="sm" val="SMDATA_16_iBLuaB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IYtAAAkIgAAhi0AACQi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lAAAAB6IAAAAAAAAAAAAAAAAAAAAAAAAAAAAAAAAAAAAAAAAAAAAAhi0AACQiAAAAAAAAAAAAAAAAAAAoAAAACAAAAAEAAAABAAAA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00290" cy="55499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noProof/>
        </w:rPr>
        <w:drawing>
          <wp:inline distT="0" distB="0" distL="0" distR="0">
            <wp:extent cx="8505190" cy="6378575"/>
            <wp:effectExtent l="0" t="0" r="0" b="0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/>
                      <a:extLst>
                        <a:ext uri="sm">
                          <sm:smNativeData xmlns:sm="sm" val="SMDATA_16_iBLuaB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FI0AAA9JwAAUjQAAD0n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lAAAAB6IAAAAAAAAAAAAAAAAAAAAAAAAAAAAAAAAAAAAAAAAAAAAAUjQAAD0nAAAAAAAAAAAAAAAAAAAoAAAACAAAAAEAAAABAAAA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05190" cy="63785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noProof/>
        </w:rPr>
        <w:drawing>
          <wp:inline distT="0" distB="0" distL="0" distR="0">
            <wp:extent cx="8230870" cy="6172835"/>
            <wp:effectExtent l="0" t="0" r="0" b="0"/>
            <wp:docPr id="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/>
                    <pic:cNvPicPr>
                      <a:picLocks noChangeAspect="1"/>
                      <a:extLst>
                        <a:ext uri="sm">
                          <sm:smNativeData xmlns:sm="sm" val="SMDATA_16_iBLuaBMAAAAlAAAAEQAAAG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IyAAD5JQAAojIAAPkl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lAAAAB6IAAAAAAAAAAAAAAAAAAAAAAAAAAAAAAAAAAAAAAAAAAAAAojIAAPklAAAAAAAAAAAAAAAAAAAoAAAACAAAAAEAAAABAAAA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0870" cy="61728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noProof/>
        </w:rPr>
        <w:drawing>
          <wp:inline distT="0" distB="0" distL="0" distR="0">
            <wp:extent cx="8428990" cy="6321425"/>
            <wp:effectExtent l="0" t="0" r="0" b="0"/>
            <wp:docPr id="5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/>
                    <pic:cNvPicPr>
                      <a:picLocks noChangeAspect="1"/>
                      <a:extLst>
                        <a:ext uri="sm">
                          <sm:smNativeData xmlns:sm="sm" val="SMDATA_16_iBLuaBMAAAAlAAAAEQAAAG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NozAADjJgAA2jMAAOMm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lAAAAB6IAAAAAAAAAAAAAAAAAAAAAAAAAAAAAAAAAAAAAAAAAAAAA2jMAAOMmAAAAAAAAAAAAAAAAAAAoAAAACAAAAAEAAAABAAAA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28990" cy="63214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nextPage"/>
      <w:pgSz w:h="11906" w:w="16838" w:orient="landscape"/>
      <w:pgMar w:left="1134" w:top="993" w:right="1134" w:bottom="850" w:header="0" w:footer="0"/>
      <w:paperSrc w:first="0" w:other="0" a="0" b="0"/>
      <w:pgNumType w:fmt="decimal" w:start="0"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ic Roman">
    <w:charset w:val="00"/>
    <w:family w:val="roman"/>
    <w:pitch w:val="default"/>
  </w:font>
  <w:font w:name="Arial">
    <w:charset w:val="00"/>
    <w:family w:val="swiss"/>
    <w:pitch w:val="default"/>
  </w:font>
  <w:font w:name="XO Thames">
    <w:charset w:val="00"/>
    <w:family w:val="roman"/>
    <w:pitch w:val="default"/>
  </w:font>
  <w:font w:name="Times New Roman">
    <w:charset w:val="00"/>
    <w:family w:val="roman"/>
    <w:pitch w:val="default"/>
  </w:font>
  <w:font w:name="Calibri">
    <w:charset w:val="00"/>
    <w:family w:val="swiss"/>
    <w:pitch w:val="default"/>
  </w:font>
  <w:font w:name="Segoe UI">
    <w:charset w:val="00"/>
    <w:family w:val="swiss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footnote w:id="1">
    <w:p>
      <w:pPr>
        <w:pStyle w:val="para18"/>
      </w:pPr>
      <w:r>
        <w:rPr>
          <w:vertAlign w:val="superscript"/>
        </w:rPr>
      </w:r>
      <w:r>
        <w:rPr>
          <w:vertAlign w:val="superscript"/>
        </w:rPr>
        <w:footnoteRef/>
      </w:r>
      <w:r>
        <w:t xml:space="preserve"> Заполняется по каждому объекту недвижимости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suppressSpBfAfterPgBrk w:val="1"/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7"/>
  <w:tmPrefTwo w:val="1"/>
  <w:tmFmtPref w:val="55090283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7"/>
    <w:tmReviewMarkIns w:val="4"/>
    <w:tmReviewColorIns w:val="-1"/>
    <w:tmReviewMarkDel w:val="7"/>
    <w:tmReviewColorDel w:val="-1"/>
    <w:tmReviewMarkFmt w:val="7"/>
    <w:tmReviewColorFmt w:val="-1"/>
    <w:tmReviewMarkLn w:val="1"/>
    <w:tmReviewColorLn w:val="0"/>
    <w:tmReviewToolTip w:val="1"/>
  </w:tmReviewPr>
  <w:tmLastPos>
    <w:tmLastPosPage w:val="1"/>
    <w:tmLastPosSelect w:val="0"/>
    <w:tmLastPosFrameIdx w:val="123"/>
    <w:tmLastPosCaret>
      <w:tmLastPosPgfIdx w:val="0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760432776" w:val="1216" w:fileVer="342" w:fileVer64="64" w:fileVerOS="3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hAnsi="Arial" w:eastAsia="Basic Roman" w:cs="Basic Roman"/>
        <w:color w:val="000000"/>
        <w:sz w:val="24"/>
        <w:szCs w:val="20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heading 1"/>
    <w:qFormat/>
    <w:next w:val="para0"/>
    <w:pPr>
      <w:spacing w:before="120" w:after="120" w:line="264" w:lineRule="auto"/>
      <w:jc w:val="both"/>
      <w:outlineLvl w:val="0"/>
    </w:pPr>
    <w:rPr>
      <w:rFonts w:ascii="XO Thames" w:hAnsi="XO Thames"/>
      <w:b/>
      <w:color w:val="000000"/>
      <w:sz w:val="32"/>
      <w:lang w:val="ru-ru" w:eastAsia="zh-cn" w:bidi="ar-sa"/>
    </w:rPr>
  </w:style>
  <w:style w:type="paragraph" w:styleId="para2">
    <w:name w:val="heading 2"/>
    <w:qFormat/>
    <w:next w:val="para0"/>
    <w:pPr>
      <w:spacing w:before="120" w:after="120" w:line="264" w:lineRule="auto"/>
      <w:jc w:val="both"/>
      <w:outlineLvl w:val="1"/>
    </w:pPr>
    <w:rPr>
      <w:rFonts w:ascii="XO Thames" w:hAnsi="XO Thames"/>
      <w:b/>
      <w:color w:val="000000"/>
      <w:sz w:val="28"/>
      <w:lang w:val="ru-ru" w:eastAsia="zh-cn" w:bidi="ar-sa"/>
    </w:rPr>
  </w:style>
  <w:style w:type="paragraph" w:styleId="para3">
    <w:name w:val="heading 3"/>
    <w:qFormat/>
    <w:next w:val="para0"/>
    <w:pPr>
      <w:spacing w:before="120" w:after="120" w:line="264" w:lineRule="auto"/>
      <w:jc w:val="both"/>
      <w:outlineLvl w:val="2"/>
    </w:pPr>
    <w:rPr>
      <w:rFonts w:ascii="XO Thames" w:hAnsi="XO Thames"/>
      <w:b/>
      <w:color w:val="000000"/>
      <w:sz w:val="26"/>
      <w:lang w:val="ru-ru" w:eastAsia="zh-cn" w:bidi="ar-sa"/>
    </w:rPr>
  </w:style>
  <w:style w:type="paragraph" w:styleId="para4">
    <w:name w:val="heading 4"/>
    <w:qFormat/>
    <w:next w:val="para0"/>
    <w:pPr>
      <w:spacing w:before="120" w:after="120" w:line="264" w:lineRule="auto"/>
      <w:jc w:val="both"/>
      <w:outlineLvl w:val="3"/>
    </w:pPr>
    <w:rPr>
      <w:rFonts w:ascii="XO Thames" w:hAnsi="XO Thames"/>
      <w:b/>
      <w:color w:val="000000"/>
      <w:sz w:val="24"/>
      <w:lang w:val="ru-ru" w:eastAsia="zh-cn" w:bidi="ar-sa"/>
    </w:rPr>
  </w:style>
  <w:style w:type="paragraph" w:styleId="para5">
    <w:name w:val="heading 5"/>
    <w:qFormat/>
    <w:next w:val="para0"/>
    <w:pPr>
      <w:spacing w:before="120" w:after="120" w:line="264" w:lineRule="auto"/>
      <w:jc w:val="both"/>
      <w:outlineLvl w:val="4"/>
    </w:pPr>
    <w:rPr>
      <w:rFonts w:ascii="XO Thames" w:hAnsi="XO Thames"/>
      <w:b/>
      <w:color w:val="000000"/>
      <w:sz w:val="22"/>
      <w:lang w:val="ru-ru" w:eastAsia="zh-cn" w:bidi="ar-sa"/>
    </w:rPr>
  </w:style>
  <w:style w:type="paragraph" w:styleId="para6">
    <w:name w:val="toc 2"/>
    <w:qFormat/>
    <w:next w:val="para0"/>
    <w:pPr>
      <w:ind w:left="2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7">
    <w:name w:val="toc 4"/>
    <w:qFormat/>
    <w:next w:val="para0"/>
    <w:pPr>
      <w:ind w:left="6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8">
    <w:name w:val="toc 6"/>
    <w:qFormat/>
    <w:next w:val="para0"/>
    <w:pPr>
      <w:ind w:left="10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9">
    <w:name w:val="toc 7"/>
    <w:qFormat/>
    <w:next w:val="para0"/>
    <w:pPr>
      <w:ind w:left="12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10">
    <w:name w:val="List Paragraph"/>
    <w:qFormat/>
    <w:basedOn w:val="para0"/>
    <w:pPr>
      <w:ind w:left="720"/>
      <w:contextualSpacing/>
    </w:pPr>
  </w:style>
  <w:style w:type="paragraph" w:styleId="para11" w:customStyle="1">
    <w:name w:val="Основной шрифт абзаца1"/>
    <w:qFormat/>
    <w:pPr>
      <w:spacing w:after="160" w:line="264" w:lineRule="auto"/>
    </w:pPr>
    <w:rPr>
      <w:rFonts w:ascii="Calibri" w:hAnsi="Calibri"/>
      <w:color w:val="000000"/>
      <w:sz w:val="22"/>
      <w:lang w:val="ru-ru" w:eastAsia="zh-cn" w:bidi="ar-sa"/>
    </w:rPr>
  </w:style>
  <w:style w:type="paragraph" w:styleId="para12" w:customStyle="1">
    <w:name w:val="Unresolved Mention"/>
    <w:qFormat/>
    <w:basedOn w:val="para11"/>
    <w:rPr>
      <w:color w:val="605e5c"/>
      <w:shd w:val="clear" w:fill="e1dfdd"/>
    </w:rPr>
  </w:style>
  <w:style w:type="paragraph" w:styleId="para13">
    <w:name w:val="toc 3"/>
    <w:qFormat/>
    <w:next w:val="para0"/>
    <w:pPr>
      <w:ind w:left="4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14">
    <w:name w:val="Balloon Text"/>
    <w:qFormat/>
    <w:basedOn w:val="para0"/>
    <w:rPr>
      <w:rFonts w:ascii="Segoe UI" w:hAnsi="Segoe UI"/>
      <w:sz w:val="18"/>
    </w:rPr>
  </w:style>
  <w:style w:type="paragraph" w:styleId="para15" w:customStyle="1">
    <w:name w:val="Default"/>
    <w:qFormat/>
    <w:rPr>
      <w:rFonts w:ascii="Times New Roman" w:hAnsi="Times New Roman"/>
      <w:color w:val="000000"/>
      <w:sz w:val="24"/>
      <w:lang w:val="ru-ru" w:eastAsia="zh-cn" w:bidi="ar-sa"/>
    </w:rPr>
  </w:style>
  <w:style w:type="paragraph" w:styleId="para16">
    <w:name w:val="No Spacing"/>
    <w:qFormat/>
    <w:rPr>
      <w:rFonts w:ascii="Calibri" w:hAnsi="Calibri"/>
      <w:color w:val="000000"/>
      <w:sz w:val="22"/>
      <w:lang w:val="ru-ru" w:eastAsia="zh-cn" w:bidi="ar-sa"/>
    </w:rPr>
  </w:style>
  <w:style w:type="paragraph" w:styleId="para17" w:customStyle="1">
    <w:name w:val="Гиперссылка1"/>
    <w:qFormat/>
    <w:basedOn w:val="para11"/>
    <w:rPr>
      <w:color w:val="0563c1"/>
      <w:u w:color="auto" w:val="single"/>
    </w:rPr>
  </w:style>
  <w:style w:type="paragraph" w:styleId="para18" w:customStyle="1">
    <w:name w:val="Footnote"/>
    <w:qFormat/>
    <w:basedOn w:val="para0"/>
    <w:rPr>
      <w:rFonts w:ascii="Times New Roman" w:hAnsi="Times New Roman"/>
      <w:sz w:val="20"/>
    </w:rPr>
  </w:style>
  <w:style w:type="paragraph" w:styleId="para19">
    <w:name w:val="toc 1"/>
    <w:qFormat/>
    <w:next w:val="para0"/>
    <w:pPr>
      <w:spacing w:after="160" w:line="264" w:lineRule="auto"/>
    </w:pPr>
    <w:rPr>
      <w:rFonts w:ascii="XO Thames" w:hAnsi="XO Thames"/>
      <w:b/>
      <w:color w:val="000000"/>
      <w:sz w:val="28"/>
      <w:lang w:val="ru-ru" w:eastAsia="zh-cn" w:bidi="ar-sa"/>
    </w:rPr>
  </w:style>
  <w:style w:type="paragraph" w:styleId="para20" w:customStyle="1">
    <w:name w:val="Header and Footer"/>
    <w:qFormat/>
    <w:pPr>
      <w:spacing w:after="160"/>
      <w:jc w:val="both"/>
    </w:pPr>
    <w:rPr>
      <w:rFonts w:ascii="XO Thames" w:hAnsi="XO Thames"/>
      <w:color w:val="000000"/>
      <w:sz w:val="24"/>
      <w:lang w:val="ru-ru" w:eastAsia="zh-cn" w:bidi="ar-sa"/>
    </w:rPr>
  </w:style>
  <w:style w:type="paragraph" w:styleId="para21">
    <w:name w:val="toc 9"/>
    <w:qFormat/>
    <w:next w:val="para0"/>
    <w:pPr>
      <w:ind w:left="16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2">
    <w:name w:val="toc 8"/>
    <w:qFormat/>
    <w:next w:val="para0"/>
    <w:pPr>
      <w:ind w:left="14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3">
    <w:name w:val="toc 5"/>
    <w:qFormat/>
    <w:next w:val="para0"/>
    <w:pPr>
      <w:ind w:left="8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4" w:customStyle="1">
    <w:name w:val="Знак сноски1"/>
    <w:qFormat/>
    <w:pPr>
      <w:spacing w:after="160" w:line="264" w:lineRule="auto"/>
    </w:pPr>
    <w:rPr>
      <w:rFonts w:ascii="Calibri" w:hAnsi="Calibri"/>
      <w:color w:val="000000"/>
      <w:sz w:val="22"/>
      <w:vertAlign w:val="superscript"/>
      <w:lang w:val="ru-ru" w:eastAsia="zh-cn" w:bidi="ar-sa"/>
    </w:rPr>
  </w:style>
  <w:style w:type="paragraph" w:styleId="para25">
    <w:name w:val="Subtitle"/>
    <w:qFormat/>
    <w:next w:val="para0"/>
    <w:pPr>
      <w:spacing w:after="160" w:line="264" w:lineRule="auto"/>
      <w:jc w:val="both"/>
    </w:pPr>
    <w:rPr>
      <w:rFonts w:ascii="XO Thames" w:hAnsi="XO Thames"/>
      <w:i/>
      <w:color w:val="000000"/>
      <w:sz w:val="24"/>
      <w:lang w:val="ru-ru" w:eastAsia="zh-cn" w:bidi="ar-sa"/>
    </w:rPr>
  </w:style>
  <w:style w:type="paragraph" w:styleId="para26">
    <w:name w:val="Title"/>
    <w:qFormat/>
    <w:next w:val="para0"/>
    <w:pPr>
      <w:spacing w:before="567" w:after="567" w:line="264" w:lineRule="auto"/>
      <w:jc w:val="center"/>
    </w:pPr>
    <w:rPr>
      <w:rFonts w:ascii="XO Thames" w:hAnsi="XO Thames"/>
      <w:b/>
      <w:caps/>
      <w:color w:val="000000"/>
      <w:sz w:val="40"/>
      <w:lang w:val="ru-ru" w:eastAsia="zh-cn" w:bidi="ar-sa"/>
    </w:rPr>
  </w:style>
  <w:style w:type="character" w:styleId="char0" w:default="1">
    <w:name w:val="Default Paragraph Font"/>
  </w:style>
  <w:style w:type="character" w:styleId="char1" w:customStyle="1">
    <w:name w:val="Оглавление 21"/>
    <w:rPr>
      <w:rFonts w:ascii="XO Thames" w:hAnsi="XO Thames"/>
      <w:sz w:val="28"/>
    </w:rPr>
  </w:style>
  <w:style w:type="character" w:styleId="char2" w:customStyle="1">
    <w:name w:val="Оглавление 41"/>
    <w:rPr>
      <w:rFonts w:ascii="XO Thames" w:hAnsi="XO Thames"/>
      <w:sz w:val="28"/>
    </w:rPr>
  </w:style>
  <w:style w:type="character" w:styleId="char3" w:customStyle="1">
    <w:name w:val="Оглавление 61"/>
    <w:rPr>
      <w:rFonts w:ascii="XO Thames" w:hAnsi="XO Thames"/>
      <w:sz w:val="28"/>
    </w:rPr>
  </w:style>
  <w:style w:type="character" w:styleId="char4" w:customStyle="1">
    <w:name w:val="Оглавление 71"/>
    <w:rPr>
      <w:rFonts w:ascii="XO Thames" w:hAnsi="XO Thames"/>
      <w:sz w:val="28"/>
    </w:rPr>
  </w:style>
  <w:style w:type="character" w:styleId="char5" w:customStyle="1">
    <w:name w:val="Заголовок 31"/>
    <w:rPr>
      <w:rFonts w:ascii="XO Thames" w:hAnsi="XO Thames"/>
      <w:b/>
      <w:sz w:val="26"/>
    </w:rPr>
  </w:style>
  <w:style w:type="character" w:styleId="char6" w:customStyle="1">
    <w:name w:val="Абзац списка1"/>
  </w:style>
  <w:style w:type="character" w:styleId="char7" w:customStyle="1">
    <w:name w:val="Unresolved Mention"/>
    <w:basedOn w:val="char0"/>
    <w:rPr>
      <w:color w:val="605e5c"/>
      <w:shd w:val="clear" w:fill="e1dfdd"/>
    </w:rPr>
  </w:style>
  <w:style w:type="character" w:styleId="char8" w:customStyle="1">
    <w:name w:val="Оглавление 31"/>
    <w:rPr>
      <w:rFonts w:ascii="XO Thames" w:hAnsi="XO Thames"/>
      <w:sz w:val="28"/>
    </w:rPr>
  </w:style>
  <w:style w:type="character" w:styleId="char9" w:customStyle="1">
    <w:name w:val="Текст выноски1"/>
    <w:rPr>
      <w:rFonts w:ascii="Segoe UI" w:hAnsi="Segoe UI"/>
      <w:sz w:val="18"/>
    </w:rPr>
  </w:style>
  <w:style w:type="character" w:styleId="char10" w:customStyle="1">
    <w:name w:val="Default"/>
    <w:rPr>
      <w:rFonts w:ascii="Times New Roman" w:hAnsi="Times New Roman"/>
      <w:color w:val="000000"/>
      <w:sz w:val="24"/>
    </w:rPr>
  </w:style>
  <w:style w:type="character" w:styleId="char11" w:customStyle="1">
    <w:name w:val="Заголовок 51"/>
    <w:rPr>
      <w:rFonts w:ascii="XO Thames" w:hAnsi="XO Thames"/>
      <w:b/>
      <w:sz w:val="22"/>
    </w:rPr>
  </w:style>
  <w:style w:type="character" w:styleId="char12" w:customStyle="1">
    <w:name w:val="Заголовок 11"/>
    <w:rPr>
      <w:rFonts w:ascii="XO Thames" w:hAnsi="XO Thames"/>
      <w:b/>
      <w:sz w:val="32"/>
    </w:rPr>
  </w:style>
  <w:style w:type="character" w:styleId="char13" w:customStyle="1">
    <w:name w:val="Без интервала1"/>
  </w:style>
  <w:style w:type="character" w:styleId="char14">
    <w:name w:val="Hyperlink"/>
    <w:basedOn w:val="char0"/>
    <w:rPr>
      <w:color w:val="0563c1"/>
      <w:u w:color="auto" w:val="single"/>
    </w:rPr>
  </w:style>
  <w:style w:type="character" w:styleId="char15" w:customStyle="1">
    <w:name w:val="Footnote"/>
    <w:rPr>
      <w:rFonts w:ascii="Times New Roman" w:hAnsi="Times New Roman"/>
      <w:sz w:val="20"/>
    </w:rPr>
  </w:style>
  <w:style w:type="character" w:styleId="char16" w:customStyle="1">
    <w:name w:val="Оглавление 11"/>
    <w:rPr>
      <w:rFonts w:ascii="XO Thames" w:hAnsi="XO Thames"/>
      <w:b/>
      <w:sz w:val="28"/>
    </w:rPr>
  </w:style>
  <w:style w:type="character" w:styleId="char17" w:customStyle="1">
    <w:name w:val="Header and Footer"/>
    <w:rPr>
      <w:rFonts w:ascii="XO Thames" w:hAnsi="XO Thames"/>
      <w:sz w:val="20"/>
    </w:rPr>
  </w:style>
  <w:style w:type="character" w:styleId="char18" w:customStyle="1">
    <w:name w:val="Оглавление 91"/>
    <w:rPr>
      <w:rFonts w:ascii="XO Thames" w:hAnsi="XO Thames"/>
      <w:sz w:val="28"/>
    </w:rPr>
  </w:style>
  <w:style w:type="character" w:styleId="char19" w:customStyle="1">
    <w:name w:val="Оглавление 81"/>
    <w:rPr>
      <w:rFonts w:ascii="XO Thames" w:hAnsi="XO Thames"/>
      <w:sz w:val="28"/>
    </w:rPr>
  </w:style>
  <w:style w:type="character" w:styleId="char20" w:customStyle="1">
    <w:name w:val="Оглавление 51"/>
    <w:rPr>
      <w:rFonts w:ascii="XO Thames" w:hAnsi="XO Thames"/>
      <w:sz w:val="28"/>
    </w:rPr>
  </w:style>
  <w:style w:type="character" w:styleId="char21" w:customStyle="1">
    <w:name w:val="Footnote Reference"/>
    <w:rPr>
      <w:vertAlign w:val="superscript"/>
    </w:rPr>
  </w:style>
  <w:style w:type="character" w:styleId="char22" w:customStyle="1">
    <w:name w:val="Подзаголовок1"/>
    <w:rPr>
      <w:rFonts w:ascii="XO Thames" w:hAnsi="XO Thames"/>
      <w:i/>
      <w:sz w:val="24"/>
    </w:rPr>
  </w:style>
  <w:style w:type="character" w:styleId="char23" w:customStyle="1">
    <w:name w:val="Название1"/>
    <w:rPr>
      <w:rFonts w:ascii="XO Thames" w:hAnsi="XO Thames"/>
      <w:b/>
      <w:caps/>
      <w:sz w:val="40"/>
    </w:rPr>
  </w:style>
  <w:style w:type="character" w:styleId="char24" w:customStyle="1">
    <w:name w:val="Заголовок 41"/>
    <w:rPr>
      <w:rFonts w:ascii="XO Thames" w:hAnsi="XO Thames"/>
      <w:b/>
      <w:sz w:val="24"/>
    </w:rPr>
  </w:style>
  <w:style w:type="character" w:styleId="char25" w:customStyle="1">
    <w:name w:val="Заголовок 21"/>
    <w:rPr>
      <w:rFonts w:ascii="XO Thames" w:hAnsi="XO Thames"/>
      <w:b/>
      <w:sz w:val="28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Сетка таблицы"/>
    <w:basedOn w:val="NormalTable"/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Arial" w:hAnsi="Arial" w:eastAsia="Basic Roman" w:cs="Basic Roman"/>
        <w:color w:val="000000"/>
        <w:sz w:val="24"/>
        <w:szCs w:val="20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heading 1"/>
    <w:qFormat/>
    <w:next w:val="para0"/>
    <w:pPr>
      <w:spacing w:before="120" w:after="120" w:line="264" w:lineRule="auto"/>
      <w:jc w:val="both"/>
      <w:outlineLvl w:val="0"/>
    </w:pPr>
    <w:rPr>
      <w:rFonts w:ascii="XO Thames" w:hAnsi="XO Thames"/>
      <w:b/>
      <w:color w:val="000000"/>
      <w:sz w:val="32"/>
      <w:lang w:val="ru-ru" w:eastAsia="zh-cn" w:bidi="ar-sa"/>
    </w:rPr>
  </w:style>
  <w:style w:type="paragraph" w:styleId="para2">
    <w:name w:val="heading 2"/>
    <w:qFormat/>
    <w:next w:val="para0"/>
    <w:pPr>
      <w:spacing w:before="120" w:after="120" w:line="264" w:lineRule="auto"/>
      <w:jc w:val="both"/>
      <w:outlineLvl w:val="1"/>
    </w:pPr>
    <w:rPr>
      <w:rFonts w:ascii="XO Thames" w:hAnsi="XO Thames"/>
      <w:b/>
      <w:color w:val="000000"/>
      <w:sz w:val="28"/>
      <w:lang w:val="ru-ru" w:eastAsia="zh-cn" w:bidi="ar-sa"/>
    </w:rPr>
  </w:style>
  <w:style w:type="paragraph" w:styleId="para3">
    <w:name w:val="heading 3"/>
    <w:qFormat/>
    <w:next w:val="para0"/>
    <w:pPr>
      <w:spacing w:before="120" w:after="120" w:line="264" w:lineRule="auto"/>
      <w:jc w:val="both"/>
      <w:outlineLvl w:val="2"/>
    </w:pPr>
    <w:rPr>
      <w:rFonts w:ascii="XO Thames" w:hAnsi="XO Thames"/>
      <w:b/>
      <w:color w:val="000000"/>
      <w:sz w:val="26"/>
      <w:lang w:val="ru-ru" w:eastAsia="zh-cn" w:bidi="ar-sa"/>
    </w:rPr>
  </w:style>
  <w:style w:type="paragraph" w:styleId="para4">
    <w:name w:val="heading 4"/>
    <w:qFormat/>
    <w:next w:val="para0"/>
    <w:pPr>
      <w:spacing w:before="120" w:after="120" w:line="264" w:lineRule="auto"/>
      <w:jc w:val="both"/>
      <w:outlineLvl w:val="3"/>
    </w:pPr>
    <w:rPr>
      <w:rFonts w:ascii="XO Thames" w:hAnsi="XO Thames"/>
      <w:b/>
      <w:color w:val="000000"/>
      <w:sz w:val="24"/>
      <w:lang w:val="ru-ru" w:eastAsia="zh-cn" w:bidi="ar-sa"/>
    </w:rPr>
  </w:style>
  <w:style w:type="paragraph" w:styleId="para5">
    <w:name w:val="heading 5"/>
    <w:qFormat/>
    <w:next w:val="para0"/>
    <w:pPr>
      <w:spacing w:before="120" w:after="120" w:line="264" w:lineRule="auto"/>
      <w:jc w:val="both"/>
      <w:outlineLvl w:val="4"/>
    </w:pPr>
    <w:rPr>
      <w:rFonts w:ascii="XO Thames" w:hAnsi="XO Thames"/>
      <w:b/>
      <w:color w:val="000000"/>
      <w:sz w:val="22"/>
      <w:lang w:val="ru-ru" w:eastAsia="zh-cn" w:bidi="ar-sa"/>
    </w:rPr>
  </w:style>
  <w:style w:type="paragraph" w:styleId="para6">
    <w:name w:val="toc 2"/>
    <w:qFormat/>
    <w:next w:val="para0"/>
    <w:pPr>
      <w:ind w:left="2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7">
    <w:name w:val="toc 4"/>
    <w:qFormat/>
    <w:next w:val="para0"/>
    <w:pPr>
      <w:ind w:left="6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8">
    <w:name w:val="toc 6"/>
    <w:qFormat/>
    <w:next w:val="para0"/>
    <w:pPr>
      <w:ind w:left="10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9">
    <w:name w:val="toc 7"/>
    <w:qFormat/>
    <w:next w:val="para0"/>
    <w:pPr>
      <w:ind w:left="12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10">
    <w:name w:val="List Paragraph"/>
    <w:qFormat/>
    <w:basedOn w:val="para0"/>
    <w:pPr>
      <w:ind w:left="720"/>
      <w:contextualSpacing/>
    </w:pPr>
  </w:style>
  <w:style w:type="paragraph" w:styleId="para11" w:customStyle="1">
    <w:name w:val="Основной шрифт абзаца1"/>
    <w:qFormat/>
    <w:pPr>
      <w:spacing w:after="160" w:line="264" w:lineRule="auto"/>
    </w:pPr>
    <w:rPr>
      <w:rFonts w:ascii="Calibri" w:hAnsi="Calibri"/>
      <w:color w:val="000000"/>
      <w:sz w:val="22"/>
      <w:lang w:val="ru-ru" w:eastAsia="zh-cn" w:bidi="ar-sa"/>
    </w:rPr>
  </w:style>
  <w:style w:type="paragraph" w:styleId="para12" w:customStyle="1">
    <w:name w:val="Unresolved Mention"/>
    <w:qFormat/>
    <w:basedOn w:val="para11"/>
    <w:rPr>
      <w:color w:val="605e5c"/>
      <w:shd w:val="clear" w:fill="e1dfdd"/>
    </w:rPr>
  </w:style>
  <w:style w:type="paragraph" w:styleId="para13">
    <w:name w:val="toc 3"/>
    <w:qFormat/>
    <w:next w:val="para0"/>
    <w:pPr>
      <w:ind w:left="4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14">
    <w:name w:val="Balloon Text"/>
    <w:qFormat/>
    <w:basedOn w:val="para0"/>
    <w:rPr>
      <w:rFonts w:ascii="Segoe UI" w:hAnsi="Segoe UI"/>
      <w:sz w:val="18"/>
    </w:rPr>
  </w:style>
  <w:style w:type="paragraph" w:styleId="para15" w:customStyle="1">
    <w:name w:val="Default"/>
    <w:qFormat/>
    <w:rPr>
      <w:rFonts w:ascii="Times New Roman" w:hAnsi="Times New Roman"/>
      <w:color w:val="000000"/>
      <w:sz w:val="24"/>
      <w:lang w:val="ru-ru" w:eastAsia="zh-cn" w:bidi="ar-sa"/>
    </w:rPr>
  </w:style>
  <w:style w:type="paragraph" w:styleId="para16">
    <w:name w:val="No Spacing"/>
    <w:qFormat/>
    <w:rPr>
      <w:rFonts w:ascii="Calibri" w:hAnsi="Calibri"/>
      <w:color w:val="000000"/>
      <w:sz w:val="22"/>
      <w:lang w:val="ru-ru" w:eastAsia="zh-cn" w:bidi="ar-sa"/>
    </w:rPr>
  </w:style>
  <w:style w:type="paragraph" w:styleId="para17" w:customStyle="1">
    <w:name w:val="Гиперссылка1"/>
    <w:qFormat/>
    <w:basedOn w:val="para11"/>
    <w:rPr>
      <w:color w:val="0563c1"/>
      <w:u w:color="auto" w:val="single"/>
    </w:rPr>
  </w:style>
  <w:style w:type="paragraph" w:styleId="para18" w:customStyle="1">
    <w:name w:val="Footnote"/>
    <w:qFormat/>
    <w:basedOn w:val="para0"/>
    <w:rPr>
      <w:rFonts w:ascii="Times New Roman" w:hAnsi="Times New Roman"/>
      <w:sz w:val="20"/>
    </w:rPr>
  </w:style>
  <w:style w:type="paragraph" w:styleId="para19">
    <w:name w:val="toc 1"/>
    <w:qFormat/>
    <w:next w:val="para0"/>
    <w:pPr>
      <w:spacing w:after="160" w:line="264" w:lineRule="auto"/>
    </w:pPr>
    <w:rPr>
      <w:rFonts w:ascii="XO Thames" w:hAnsi="XO Thames"/>
      <w:b/>
      <w:color w:val="000000"/>
      <w:sz w:val="28"/>
      <w:lang w:val="ru-ru" w:eastAsia="zh-cn" w:bidi="ar-sa"/>
    </w:rPr>
  </w:style>
  <w:style w:type="paragraph" w:styleId="para20" w:customStyle="1">
    <w:name w:val="Header and Footer"/>
    <w:qFormat/>
    <w:pPr>
      <w:spacing w:after="160"/>
      <w:jc w:val="both"/>
    </w:pPr>
    <w:rPr>
      <w:rFonts w:ascii="XO Thames" w:hAnsi="XO Thames"/>
      <w:color w:val="000000"/>
      <w:sz w:val="24"/>
      <w:lang w:val="ru-ru" w:eastAsia="zh-cn" w:bidi="ar-sa"/>
    </w:rPr>
  </w:style>
  <w:style w:type="paragraph" w:styleId="para21">
    <w:name w:val="toc 9"/>
    <w:qFormat/>
    <w:next w:val="para0"/>
    <w:pPr>
      <w:ind w:left="16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2">
    <w:name w:val="toc 8"/>
    <w:qFormat/>
    <w:next w:val="para0"/>
    <w:pPr>
      <w:ind w:left="14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3">
    <w:name w:val="toc 5"/>
    <w:qFormat/>
    <w:next w:val="para0"/>
    <w:pPr>
      <w:ind w:left="8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4" w:customStyle="1">
    <w:name w:val="Знак сноски1"/>
    <w:qFormat/>
    <w:pPr>
      <w:spacing w:after="160" w:line="264" w:lineRule="auto"/>
    </w:pPr>
    <w:rPr>
      <w:rFonts w:ascii="Calibri" w:hAnsi="Calibri"/>
      <w:color w:val="000000"/>
      <w:sz w:val="22"/>
      <w:vertAlign w:val="superscript"/>
      <w:lang w:val="ru-ru" w:eastAsia="zh-cn" w:bidi="ar-sa"/>
    </w:rPr>
  </w:style>
  <w:style w:type="paragraph" w:styleId="para25">
    <w:name w:val="Subtitle"/>
    <w:qFormat/>
    <w:next w:val="para0"/>
    <w:pPr>
      <w:spacing w:after="160" w:line="264" w:lineRule="auto"/>
      <w:jc w:val="both"/>
    </w:pPr>
    <w:rPr>
      <w:rFonts w:ascii="XO Thames" w:hAnsi="XO Thames"/>
      <w:i/>
      <w:color w:val="000000"/>
      <w:sz w:val="24"/>
      <w:lang w:val="ru-ru" w:eastAsia="zh-cn" w:bidi="ar-sa"/>
    </w:rPr>
  </w:style>
  <w:style w:type="paragraph" w:styleId="para26">
    <w:name w:val="Title"/>
    <w:qFormat/>
    <w:next w:val="para0"/>
    <w:pPr>
      <w:spacing w:before="567" w:after="567" w:line="264" w:lineRule="auto"/>
      <w:jc w:val="center"/>
    </w:pPr>
    <w:rPr>
      <w:rFonts w:ascii="XO Thames" w:hAnsi="XO Thames"/>
      <w:b/>
      <w:caps/>
      <w:color w:val="000000"/>
      <w:sz w:val="40"/>
      <w:lang w:val="ru-ru" w:eastAsia="zh-cn" w:bidi="ar-sa"/>
    </w:rPr>
  </w:style>
  <w:style w:type="character" w:styleId="char0" w:default="1">
    <w:name w:val="Default Paragraph Font"/>
  </w:style>
  <w:style w:type="character" w:styleId="char1" w:customStyle="1">
    <w:name w:val="Оглавление 21"/>
    <w:rPr>
      <w:rFonts w:ascii="XO Thames" w:hAnsi="XO Thames"/>
      <w:sz w:val="28"/>
    </w:rPr>
  </w:style>
  <w:style w:type="character" w:styleId="char2" w:customStyle="1">
    <w:name w:val="Оглавление 41"/>
    <w:rPr>
      <w:rFonts w:ascii="XO Thames" w:hAnsi="XO Thames"/>
      <w:sz w:val="28"/>
    </w:rPr>
  </w:style>
  <w:style w:type="character" w:styleId="char3" w:customStyle="1">
    <w:name w:val="Оглавление 61"/>
    <w:rPr>
      <w:rFonts w:ascii="XO Thames" w:hAnsi="XO Thames"/>
      <w:sz w:val="28"/>
    </w:rPr>
  </w:style>
  <w:style w:type="character" w:styleId="char4" w:customStyle="1">
    <w:name w:val="Оглавление 71"/>
    <w:rPr>
      <w:rFonts w:ascii="XO Thames" w:hAnsi="XO Thames"/>
      <w:sz w:val="28"/>
    </w:rPr>
  </w:style>
  <w:style w:type="character" w:styleId="char5" w:customStyle="1">
    <w:name w:val="Заголовок 31"/>
    <w:rPr>
      <w:rFonts w:ascii="XO Thames" w:hAnsi="XO Thames"/>
      <w:b/>
      <w:sz w:val="26"/>
    </w:rPr>
  </w:style>
  <w:style w:type="character" w:styleId="char6" w:customStyle="1">
    <w:name w:val="Абзац списка1"/>
  </w:style>
  <w:style w:type="character" w:styleId="char7" w:customStyle="1">
    <w:name w:val="Unresolved Mention"/>
    <w:basedOn w:val="char0"/>
    <w:rPr>
      <w:color w:val="605e5c"/>
      <w:shd w:val="clear" w:fill="e1dfdd"/>
    </w:rPr>
  </w:style>
  <w:style w:type="character" w:styleId="char8" w:customStyle="1">
    <w:name w:val="Оглавление 31"/>
    <w:rPr>
      <w:rFonts w:ascii="XO Thames" w:hAnsi="XO Thames"/>
      <w:sz w:val="28"/>
    </w:rPr>
  </w:style>
  <w:style w:type="character" w:styleId="char9" w:customStyle="1">
    <w:name w:val="Текст выноски1"/>
    <w:rPr>
      <w:rFonts w:ascii="Segoe UI" w:hAnsi="Segoe UI"/>
      <w:sz w:val="18"/>
    </w:rPr>
  </w:style>
  <w:style w:type="character" w:styleId="char10" w:customStyle="1">
    <w:name w:val="Default"/>
    <w:rPr>
      <w:rFonts w:ascii="Times New Roman" w:hAnsi="Times New Roman"/>
      <w:color w:val="000000"/>
      <w:sz w:val="24"/>
    </w:rPr>
  </w:style>
  <w:style w:type="character" w:styleId="char11" w:customStyle="1">
    <w:name w:val="Заголовок 51"/>
    <w:rPr>
      <w:rFonts w:ascii="XO Thames" w:hAnsi="XO Thames"/>
      <w:b/>
      <w:sz w:val="22"/>
    </w:rPr>
  </w:style>
  <w:style w:type="character" w:styleId="char12" w:customStyle="1">
    <w:name w:val="Заголовок 11"/>
    <w:rPr>
      <w:rFonts w:ascii="XO Thames" w:hAnsi="XO Thames"/>
      <w:b/>
      <w:sz w:val="32"/>
    </w:rPr>
  </w:style>
  <w:style w:type="character" w:styleId="char13" w:customStyle="1">
    <w:name w:val="Без интервала1"/>
  </w:style>
  <w:style w:type="character" w:styleId="char14">
    <w:name w:val="Hyperlink"/>
    <w:basedOn w:val="char0"/>
    <w:rPr>
      <w:color w:val="0563c1"/>
      <w:u w:color="auto" w:val="single"/>
    </w:rPr>
  </w:style>
  <w:style w:type="character" w:styleId="char15" w:customStyle="1">
    <w:name w:val="Footnote"/>
    <w:rPr>
      <w:rFonts w:ascii="Times New Roman" w:hAnsi="Times New Roman"/>
      <w:sz w:val="20"/>
    </w:rPr>
  </w:style>
  <w:style w:type="character" w:styleId="char16" w:customStyle="1">
    <w:name w:val="Оглавление 11"/>
    <w:rPr>
      <w:rFonts w:ascii="XO Thames" w:hAnsi="XO Thames"/>
      <w:b/>
      <w:sz w:val="28"/>
    </w:rPr>
  </w:style>
  <w:style w:type="character" w:styleId="char17" w:customStyle="1">
    <w:name w:val="Header and Footer"/>
    <w:rPr>
      <w:rFonts w:ascii="XO Thames" w:hAnsi="XO Thames"/>
      <w:sz w:val="20"/>
    </w:rPr>
  </w:style>
  <w:style w:type="character" w:styleId="char18" w:customStyle="1">
    <w:name w:val="Оглавление 91"/>
    <w:rPr>
      <w:rFonts w:ascii="XO Thames" w:hAnsi="XO Thames"/>
      <w:sz w:val="28"/>
    </w:rPr>
  </w:style>
  <w:style w:type="character" w:styleId="char19" w:customStyle="1">
    <w:name w:val="Оглавление 81"/>
    <w:rPr>
      <w:rFonts w:ascii="XO Thames" w:hAnsi="XO Thames"/>
      <w:sz w:val="28"/>
    </w:rPr>
  </w:style>
  <w:style w:type="character" w:styleId="char20" w:customStyle="1">
    <w:name w:val="Оглавление 51"/>
    <w:rPr>
      <w:rFonts w:ascii="XO Thames" w:hAnsi="XO Thames"/>
      <w:sz w:val="28"/>
    </w:rPr>
  </w:style>
  <w:style w:type="character" w:styleId="char21" w:customStyle="1">
    <w:name w:val="Footnote Reference"/>
    <w:rPr>
      <w:vertAlign w:val="superscript"/>
    </w:rPr>
  </w:style>
  <w:style w:type="character" w:styleId="char22" w:customStyle="1">
    <w:name w:val="Подзаголовок1"/>
    <w:rPr>
      <w:rFonts w:ascii="XO Thames" w:hAnsi="XO Thames"/>
      <w:i/>
      <w:sz w:val="24"/>
    </w:rPr>
  </w:style>
  <w:style w:type="character" w:styleId="char23" w:customStyle="1">
    <w:name w:val="Название1"/>
    <w:rPr>
      <w:rFonts w:ascii="XO Thames" w:hAnsi="XO Thames"/>
      <w:b/>
      <w:caps/>
      <w:sz w:val="40"/>
    </w:rPr>
  </w:style>
  <w:style w:type="character" w:styleId="char24" w:customStyle="1">
    <w:name w:val="Заголовок 41"/>
    <w:rPr>
      <w:rFonts w:ascii="XO Thames" w:hAnsi="XO Thames"/>
      <w:b/>
      <w:sz w:val="24"/>
    </w:rPr>
  </w:style>
  <w:style w:type="character" w:styleId="char25" w:customStyle="1">
    <w:name w:val="Заголовок 21"/>
    <w:rPr>
      <w:rFonts w:ascii="XO Thames" w:hAnsi="XO Thames"/>
      <w:b/>
      <w:sz w:val="28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Сетка таблицы"/>
    <w:basedOn w:val="NormalTable"/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footnotes" Target="footnotes.xml"/><Relationship Id="rId8" Type="http://schemas.openxmlformats.org/officeDocument/2006/relationships/hyperlink" Target="mailto:munhen833@gmail.com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Basic Roman"/>
        <a:cs typeface="Basic Roman"/>
      </a:majorFont>
      <a:minorFont>
        <a:latin typeface="Arial"/>
        <a:ea typeface="Basic Roman"/>
        <a:cs typeface="Basic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rev.1216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7</cp:revision>
  <dcterms:created xsi:type="dcterms:W3CDTF">2024-09-30T03:02:00Z</dcterms:created>
  <dcterms:modified xsi:type="dcterms:W3CDTF">2025-10-14T09:06:16Z</dcterms:modified>
</cp:coreProperties>
</file>